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757B" w14:textId="77777777" w:rsidR="00595A81" w:rsidRDefault="00595A81" w:rsidP="00595A81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1417C15C" w14:textId="77777777" w:rsidR="00595A81" w:rsidRDefault="00595A81" w:rsidP="00595A81">
      <w:pPr>
        <w:pStyle w:val="BodyText"/>
        <w:ind w:left="3445" w:right="3096"/>
        <w:jc w:val="center"/>
      </w:pPr>
      <w:r>
        <w:t>International Relations Department</w:t>
      </w:r>
      <w:r>
        <w:rPr>
          <w:spacing w:val="-57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E619972" w14:textId="77777777" w:rsidR="00595A81" w:rsidRPr="00BD7A0A" w:rsidRDefault="00595A81" w:rsidP="00595A81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31489F01" w14:textId="77777777" w:rsidR="00595A81" w:rsidRPr="00BD7A0A" w:rsidRDefault="00595A81" w:rsidP="00595A81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4A08B51E" w14:textId="77777777" w:rsidR="00595A81" w:rsidRPr="00C64479" w:rsidRDefault="00595A81" w:rsidP="00595A81">
      <w:pPr>
        <w:pStyle w:val="BodyText"/>
        <w:ind w:left="0"/>
        <w:jc w:val="center"/>
      </w:pPr>
      <w:r w:rsidRPr="00C64479">
        <w:t>Practice of Simultaneous Translation</w:t>
      </w:r>
    </w:p>
    <w:p w14:paraId="544482F6" w14:textId="77777777" w:rsidR="00967A6C" w:rsidRDefault="00967A6C">
      <w:pPr>
        <w:pStyle w:val="BodyText"/>
        <w:ind w:left="0"/>
      </w:pPr>
    </w:p>
    <w:p w14:paraId="636101EA" w14:textId="77777777" w:rsidR="00967A6C" w:rsidRDefault="00000000">
      <w:pPr>
        <w:pStyle w:val="Heading1"/>
        <w:ind w:left="1707" w:right="1356"/>
        <w:jc w:val="center"/>
      </w:pPr>
      <w:r>
        <w:t>Lecture</w:t>
      </w:r>
      <w:r>
        <w:rPr>
          <w:spacing w:val="-3"/>
        </w:rPr>
        <w:t xml:space="preserve"> </w:t>
      </w:r>
      <w:r>
        <w:t>2</w:t>
      </w:r>
    </w:p>
    <w:p w14:paraId="1B935317" w14:textId="77777777" w:rsidR="00967A6C" w:rsidRDefault="00967A6C">
      <w:pPr>
        <w:pStyle w:val="BodyText"/>
        <w:ind w:left="0"/>
        <w:rPr>
          <w:b/>
        </w:rPr>
      </w:pPr>
    </w:p>
    <w:p w14:paraId="7DE74E1A" w14:textId="77777777" w:rsidR="00967A6C" w:rsidRDefault="00000000">
      <w:pPr>
        <w:spacing w:line="360" w:lineRule="auto"/>
        <w:ind w:left="462" w:right="4630"/>
        <w:rPr>
          <w:b/>
          <w:sz w:val="24"/>
        </w:rPr>
      </w:pPr>
      <w:r>
        <w:rPr>
          <w:b/>
          <w:sz w:val="24"/>
        </w:rPr>
        <w:t>Module 1: Tenets of Translation Studies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Synchrony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listening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speaking</w:t>
      </w:r>
    </w:p>
    <w:p w14:paraId="2DAC36DB" w14:textId="77777777" w:rsidR="00967A6C" w:rsidRDefault="00967A6C">
      <w:pPr>
        <w:pStyle w:val="BodyText"/>
        <w:spacing w:before="1"/>
        <w:ind w:left="0"/>
        <w:rPr>
          <w:b/>
          <w:sz w:val="36"/>
        </w:rPr>
      </w:pPr>
    </w:p>
    <w:p w14:paraId="42C12954" w14:textId="77777777" w:rsidR="00967A6C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075B5715" w14:textId="77777777" w:rsidR="00967A6C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562872C1" w14:textId="77777777" w:rsidR="00967A6C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Tactics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interpreting</w:t>
      </w:r>
    </w:p>
    <w:p w14:paraId="68C743CE" w14:textId="77777777" w:rsidR="00967A6C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Conclusion</w:t>
      </w:r>
    </w:p>
    <w:p w14:paraId="3F81330B" w14:textId="77777777" w:rsidR="00967A6C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References</w:t>
      </w:r>
    </w:p>
    <w:p w14:paraId="5A8FF47A" w14:textId="77777777" w:rsidR="00967A6C" w:rsidRDefault="00967A6C">
      <w:pPr>
        <w:pStyle w:val="BodyText"/>
        <w:ind w:left="0"/>
        <w:rPr>
          <w:sz w:val="26"/>
        </w:rPr>
      </w:pPr>
    </w:p>
    <w:p w14:paraId="5FA2D119" w14:textId="77777777" w:rsidR="00967A6C" w:rsidRDefault="00967A6C">
      <w:pPr>
        <w:pStyle w:val="BodyText"/>
        <w:ind w:left="0"/>
        <w:rPr>
          <w:sz w:val="22"/>
        </w:rPr>
      </w:pPr>
    </w:p>
    <w:p w14:paraId="043C91B0" w14:textId="77777777" w:rsidR="00967A6C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22ADCC1B" w14:textId="77777777" w:rsidR="00967A6C" w:rsidRDefault="00000000">
      <w:pPr>
        <w:pStyle w:val="ListParagraph"/>
        <w:numPr>
          <w:ilvl w:val="1"/>
          <w:numId w:val="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Style</w:t>
      </w:r>
    </w:p>
    <w:p w14:paraId="007BE002" w14:textId="77777777" w:rsidR="00967A6C" w:rsidRDefault="00000000">
      <w:pPr>
        <w:pStyle w:val="ListParagraph"/>
        <w:numPr>
          <w:ilvl w:val="1"/>
          <w:numId w:val="3"/>
        </w:numPr>
        <w:tabs>
          <w:tab w:val="left" w:pos="1182"/>
        </w:tabs>
        <w:spacing w:before="139"/>
        <w:ind w:hanging="361"/>
        <w:rPr>
          <w:sz w:val="24"/>
        </w:rPr>
      </w:pPr>
      <w:r>
        <w:rPr>
          <w:sz w:val="24"/>
        </w:rPr>
        <w:t>Fluency</w:t>
      </w:r>
    </w:p>
    <w:p w14:paraId="2B4D690C" w14:textId="77777777" w:rsidR="00967A6C" w:rsidRDefault="00000000">
      <w:pPr>
        <w:pStyle w:val="ListParagraph"/>
        <w:numPr>
          <w:ilvl w:val="1"/>
          <w:numId w:val="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Chunking</w:t>
      </w:r>
    </w:p>
    <w:p w14:paraId="53C3AD4D" w14:textId="77777777" w:rsidR="00967A6C" w:rsidRDefault="00000000">
      <w:pPr>
        <w:pStyle w:val="ListParagraph"/>
        <w:numPr>
          <w:ilvl w:val="1"/>
          <w:numId w:val="3"/>
        </w:numPr>
        <w:tabs>
          <w:tab w:val="left" w:pos="1182"/>
        </w:tabs>
        <w:spacing w:before="139"/>
        <w:ind w:hanging="361"/>
        <w:rPr>
          <w:sz w:val="24"/>
        </w:rPr>
      </w:pPr>
      <w:r>
        <w:rPr>
          <w:sz w:val="24"/>
        </w:rPr>
        <w:t>Linear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</w:p>
    <w:p w14:paraId="14DC544E" w14:textId="77777777" w:rsidR="00967A6C" w:rsidRDefault="00967A6C">
      <w:pPr>
        <w:pStyle w:val="BodyText"/>
        <w:ind w:left="0"/>
        <w:rPr>
          <w:sz w:val="26"/>
        </w:rPr>
      </w:pPr>
    </w:p>
    <w:p w14:paraId="639AF0BA" w14:textId="77777777" w:rsidR="00967A6C" w:rsidRDefault="00967A6C">
      <w:pPr>
        <w:pStyle w:val="BodyText"/>
        <w:ind w:left="0"/>
        <w:rPr>
          <w:sz w:val="22"/>
        </w:rPr>
      </w:pPr>
    </w:p>
    <w:p w14:paraId="4A11F8D8" w14:textId="77777777" w:rsidR="00967A6C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2E84582D" w14:textId="77777777" w:rsidR="00967A6C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Introduce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Quantitative Aspects</w:t>
      </w:r>
      <w:r>
        <w:rPr>
          <w:spacing w:val="-1"/>
          <w:sz w:val="24"/>
        </w:rPr>
        <w:t xml:space="preserve"> </w:t>
      </w:r>
      <w:r>
        <w:rPr>
          <w:sz w:val="24"/>
        </w:rPr>
        <w:t>of SI</w:t>
      </w:r>
    </w:p>
    <w:p w14:paraId="26378ACB" w14:textId="77777777" w:rsidR="00967A6C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technique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simultaneously</w:t>
      </w:r>
    </w:p>
    <w:p w14:paraId="3BD45C6C" w14:textId="77777777" w:rsidR="00967A6C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Familiarize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</w:p>
    <w:p w14:paraId="5CEA6A6F" w14:textId="77777777" w:rsidR="00967A6C" w:rsidRDefault="00967A6C">
      <w:pPr>
        <w:pStyle w:val="BodyText"/>
        <w:ind w:left="0"/>
        <w:rPr>
          <w:sz w:val="26"/>
        </w:rPr>
      </w:pPr>
    </w:p>
    <w:p w14:paraId="2801FDF1" w14:textId="77777777" w:rsidR="00967A6C" w:rsidRDefault="00967A6C">
      <w:pPr>
        <w:pStyle w:val="BodyText"/>
        <w:ind w:left="0"/>
        <w:rPr>
          <w:sz w:val="22"/>
        </w:rPr>
      </w:pPr>
    </w:p>
    <w:p w14:paraId="6F77C351" w14:textId="77777777" w:rsidR="00967A6C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608CE02D" w14:textId="77777777" w:rsidR="00967A6C" w:rsidRDefault="00000000">
      <w:pPr>
        <w:pStyle w:val="BodyText"/>
        <w:spacing w:before="140"/>
      </w:pPr>
      <w:r>
        <w:t>Synchrony,</w:t>
      </w:r>
      <w:r>
        <w:rPr>
          <w:spacing w:val="-2"/>
        </w:rPr>
        <w:t xml:space="preserve"> </w:t>
      </w:r>
      <w:r>
        <w:t>listening,</w:t>
      </w:r>
      <w:r>
        <w:rPr>
          <w:spacing w:val="-1"/>
        </w:rPr>
        <w:t xml:space="preserve"> </w:t>
      </w:r>
      <w:r>
        <w:t>speaking,</w:t>
      </w:r>
      <w:r>
        <w:rPr>
          <w:spacing w:val="-1"/>
        </w:rPr>
        <w:t xml:space="preserve"> </w:t>
      </w:r>
      <w:r>
        <w:t>shadowing</w:t>
      </w:r>
    </w:p>
    <w:p w14:paraId="178111D1" w14:textId="77777777" w:rsidR="00967A6C" w:rsidRDefault="00967A6C">
      <w:pPr>
        <w:pStyle w:val="BodyText"/>
        <w:ind w:left="0"/>
        <w:rPr>
          <w:sz w:val="26"/>
        </w:rPr>
      </w:pPr>
    </w:p>
    <w:p w14:paraId="4D952EE1" w14:textId="77777777" w:rsidR="00967A6C" w:rsidRDefault="00967A6C">
      <w:pPr>
        <w:pStyle w:val="BodyText"/>
        <w:ind w:left="0"/>
        <w:rPr>
          <w:sz w:val="22"/>
        </w:rPr>
      </w:pPr>
    </w:p>
    <w:p w14:paraId="6F34512A" w14:textId="77777777" w:rsidR="00967A6C" w:rsidRDefault="00000000">
      <w:pPr>
        <w:pStyle w:val="BodyText"/>
        <w:spacing w:line="360" w:lineRule="auto"/>
        <w:ind w:right="106"/>
        <w:jc w:val="both"/>
      </w:pPr>
      <w:r>
        <w:t>A conference speaker and audience who do not speak the language of one another can only</w:t>
      </w:r>
      <w:r>
        <w:rPr>
          <w:spacing w:val="1"/>
        </w:rPr>
        <w:t xml:space="preserve"> </w:t>
      </w:r>
      <w:r>
        <w:t>evaluate the simultaneously interpreted discourse by its form. They assess the performance of an</w:t>
      </w:r>
      <w:r>
        <w:rPr>
          <w:spacing w:val="1"/>
        </w:rPr>
        <w:t xml:space="preserve"> </w:t>
      </w:r>
      <w:r>
        <w:t>interpreter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fluency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nativelikedness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TL</w:t>
      </w:r>
      <w:r>
        <w:rPr>
          <w:spacing w:val="-6"/>
        </w:rPr>
        <w:t xml:space="preserve"> </w:t>
      </w:r>
      <w:r>
        <w:t>discourse.</w:t>
      </w:r>
      <w:r>
        <w:rPr>
          <w:spacing w:val="-9"/>
        </w:rPr>
        <w:t xml:space="preserve"> </w:t>
      </w:r>
      <w:r>
        <w:t>Kopczynski</w:t>
      </w:r>
      <w:r>
        <w:rPr>
          <w:spacing w:val="-10"/>
        </w:rPr>
        <w:t xml:space="preserve"> </w:t>
      </w:r>
      <w:r>
        <w:t>(1994)</w:t>
      </w:r>
      <w:r>
        <w:rPr>
          <w:spacing w:val="-9"/>
        </w:rPr>
        <w:t xml:space="preserve"> </w:t>
      </w:r>
      <w:r>
        <w:t>conducted</w:t>
      </w:r>
      <w:r>
        <w:rPr>
          <w:spacing w:val="-58"/>
        </w:rPr>
        <w:t xml:space="preserve"> </w:t>
      </w:r>
      <w:r>
        <w:t>a survey among conference speakers and attendees to identify what they viewed as elements that</w:t>
      </w:r>
      <w:r>
        <w:rPr>
          <w:spacing w:val="1"/>
        </w:rPr>
        <w:t xml:space="preserve"> </w:t>
      </w:r>
      <w:r>
        <w:t>contribute to quality in a simultaneously interpreted discourse. He found that both groups ranked</w:t>
      </w:r>
      <w:r>
        <w:rPr>
          <w:spacing w:val="1"/>
        </w:rPr>
        <w:t xml:space="preserve"> </w:t>
      </w:r>
      <w:r>
        <w:t>fluency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priorities after</w:t>
      </w:r>
      <w:r>
        <w:rPr>
          <w:spacing w:val="-1"/>
        </w:rPr>
        <w:t xml:space="preserve"> </w:t>
      </w:r>
      <w:r>
        <w:t>content and</w:t>
      </w:r>
      <w:r>
        <w:rPr>
          <w:spacing w:val="-1"/>
        </w:rPr>
        <w:t xml:space="preserve"> </w:t>
      </w:r>
      <w:r>
        <w:t>terminological</w:t>
      </w:r>
      <w:r>
        <w:rPr>
          <w:spacing w:val="-1"/>
        </w:rPr>
        <w:t xml:space="preserve"> </w:t>
      </w:r>
      <w:r>
        <w:t>precision.</w:t>
      </w:r>
    </w:p>
    <w:p w14:paraId="451AB9E2" w14:textId="77777777" w:rsidR="00967A6C" w:rsidRDefault="00967A6C">
      <w:pPr>
        <w:spacing w:line="360" w:lineRule="auto"/>
        <w:jc w:val="both"/>
        <w:sectPr w:rsidR="00967A6C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14:paraId="2D59F615" w14:textId="77777777" w:rsidR="00967A6C" w:rsidRDefault="00000000">
      <w:pPr>
        <w:pStyle w:val="BodyText"/>
        <w:spacing w:before="73" w:line="360" w:lineRule="auto"/>
        <w:ind w:right="102"/>
        <w:jc w:val="both"/>
      </w:pPr>
      <w:r>
        <w:lastRenderedPageBreak/>
        <w:t>Skilled interpreters (e.g., Jones 1998: 130) warn novices that “they should not make artificial</w:t>
      </w:r>
      <w:r>
        <w:rPr>
          <w:spacing w:val="1"/>
        </w:rPr>
        <w:t xml:space="preserve"> </w:t>
      </w:r>
      <w:r>
        <w:t>pauses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 next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extra input from the speaker.” They observe that audiences sometimes expect the interpreter to</w:t>
      </w:r>
      <w:r>
        <w:rPr>
          <w:spacing w:val="1"/>
        </w:rPr>
        <w:t xml:space="preserve"> </w:t>
      </w:r>
      <w:r>
        <w:t>“keep up a continuous flow of sound in the booth” worrying about missing out on part of the SL</w:t>
      </w:r>
      <w:r>
        <w:rPr>
          <w:spacing w:val="1"/>
        </w:rPr>
        <w:t xml:space="preserve"> </w:t>
      </w:r>
      <w:r>
        <w:t>discourse</w:t>
      </w:r>
      <w:r>
        <w:rPr>
          <w:spacing w:val="-12"/>
        </w:rPr>
        <w:t xml:space="preserve"> </w:t>
      </w:r>
      <w:r>
        <w:t>(Jones</w:t>
      </w:r>
      <w:r>
        <w:rPr>
          <w:spacing w:val="-11"/>
        </w:rPr>
        <w:t xml:space="preserve"> </w:t>
      </w:r>
      <w:r>
        <w:t>1998:</w:t>
      </w:r>
      <w:r>
        <w:rPr>
          <w:spacing w:val="-11"/>
        </w:rPr>
        <w:t xml:space="preserve"> </w:t>
      </w:r>
      <w:r>
        <w:t>128).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stress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“the</w:t>
      </w:r>
      <w:r>
        <w:rPr>
          <w:spacing w:val="-9"/>
        </w:rPr>
        <w:t xml:space="preserve"> </w:t>
      </w:r>
      <w:r>
        <w:t>constant</w:t>
      </w:r>
      <w:r>
        <w:rPr>
          <w:spacing w:val="-11"/>
        </w:rPr>
        <w:t xml:space="preserve"> </w:t>
      </w:r>
      <w:r>
        <w:t>objective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interpreter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58"/>
        </w:rPr>
        <w:t xml:space="preserve"> </w:t>
      </w:r>
      <w:r>
        <w:t>a correct translation of the original in a form that sounds as natural and as authentic as possible in</w:t>
      </w:r>
      <w:r>
        <w:rPr>
          <w:spacing w:val="-57"/>
        </w:rPr>
        <w:t xml:space="preserve"> </w:t>
      </w:r>
      <w:r>
        <w:t>the target language: the audience should not feel they are listening to a translation” (Jones 1998:</w:t>
      </w:r>
      <w:r>
        <w:rPr>
          <w:spacing w:val="1"/>
        </w:rPr>
        <w:t xml:space="preserve"> </w:t>
      </w:r>
      <w:r>
        <w:t>90). Not only does an interpreted discourse need to be fluent to earn the SI practitioner approval</w:t>
      </w:r>
      <w:r>
        <w:rPr>
          <w:spacing w:val="1"/>
        </w:rPr>
        <w:t xml:space="preserve"> </w:t>
      </w:r>
      <w:r>
        <w:t xml:space="preserve">from their partners in the communication process, the speaker and audience, but </w:t>
      </w:r>
      <w:proofErr w:type="gramStart"/>
      <w:r>
        <w:t>also</w:t>
      </w:r>
      <w:proofErr w:type="gramEnd"/>
      <w:r>
        <w:t xml:space="preserve"> they need to</w:t>
      </w:r>
      <w:r>
        <w:rPr>
          <w:spacing w:val="-58"/>
        </w:rPr>
        <w:t xml:space="preserve"> </w:t>
      </w:r>
      <w:r>
        <w:t>imitate the tempo and intensity of the speaker’s voice according to Kopczynski (1994). He found</w:t>
      </w:r>
      <w:r>
        <w:rPr>
          <w:spacing w:val="-57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proofErr w:type="gramStart"/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questionnaire</w:t>
      </w:r>
      <w:r>
        <w:rPr>
          <w:spacing w:val="-8"/>
        </w:rPr>
        <w:t xml:space="preserve"> </w:t>
      </w:r>
      <w:r>
        <w:t>respondents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interpreter</w:t>
      </w:r>
      <w:r>
        <w:rPr>
          <w:spacing w:val="-58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ghost</w:t>
      </w:r>
      <w:r>
        <w:rPr>
          <w:spacing w:val="-3"/>
        </w:rPr>
        <w:t xml:space="preserve"> </w:t>
      </w:r>
      <w:r>
        <w:t>role,</w:t>
      </w:r>
      <w:r>
        <w:rPr>
          <w:spacing w:val="-4"/>
        </w:rPr>
        <w:t xml:space="preserve"> </w:t>
      </w:r>
      <w:r>
        <w:t>ie,</w:t>
      </w:r>
      <w:r>
        <w:rPr>
          <w:spacing w:val="-3"/>
        </w:rPr>
        <w:t xml:space="preserve"> </w:t>
      </w:r>
      <w:r>
        <w:t>imitating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speaker.</w:t>
      </w:r>
      <w:r>
        <w:rPr>
          <w:spacing w:val="-5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doubtful,</w:t>
      </w:r>
      <w:r>
        <w:rPr>
          <w:spacing w:val="-58"/>
        </w:rPr>
        <w:t xml:space="preserve"> </w:t>
      </w:r>
      <w:r>
        <w:t>as Kopczynski himself indicated, it points to the importance that interpretation users place on the</w:t>
      </w:r>
      <w:r>
        <w:rPr>
          <w:spacing w:val="-57"/>
        </w:rPr>
        <w:t xml:space="preserve"> </w:t>
      </w:r>
      <w:r>
        <w:t>method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TL</w:t>
      </w:r>
      <w:r>
        <w:rPr>
          <w:spacing w:val="-13"/>
        </w:rPr>
        <w:t xml:space="preserve"> </w:t>
      </w:r>
      <w:r>
        <w:t>discourse</w:t>
      </w:r>
      <w:r>
        <w:rPr>
          <w:spacing w:val="-14"/>
        </w:rPr>
        <w:t xml:space="preserve"> </w:t>
      </w:r>
      <w:r>
        <w:t>delivery.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clear</w:t>
      </w:r>
      <w:r>
        <w:rPr>
          <w:spacing w:val="-14"/>
        </w:rPr>
        <w:t xml:space="preserve"> </w:t>
      </w:r>
      <w:r>
        <w:t>relevance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fluency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perceived</w:t>
      </w:r>
      <w:r>
        <w:rPr>
          <w:spacing w:val="-13"/>
        </w:rPr>
        <w:t xml:space="preserve"> </w:t>
      </w:r>
      <w:r>
        <w:t>interpreter</w:t>
      </w:r>
      <w:r>
        <w:rPr>
          <w:spacing w:val="-58"/>
        </w:rPr>
        <w:t xml:space="preserve"> </w:t>
      </w:r>
      <w:r>
        <w:t>competence, it is sound to consider it an aspect of SI style. Fluency is immediately relevant to the</w:t>
      </w:r>
      <w:r>
        <w:rPr>
          <w:spacing w:val="-58"/>
        </w:rPr>
        <w:t xml:space="preserve"> </w:t>
      </w:r>
      <w:r>
        <w:t>method of SI delivery; it represents the fluidness and smoothness of SI delivery. Therefore, it</w:t>
      </w:r>
      <w:r>
        <w:rPr>
          <w:spacing w:val="1"/>
        </w:rPr>
        <w:t xml:space="preserve"> </w:t>
      </w:r>
      <w:r>
        <w:t>should not be controversial to consider fluency an aspect of interpretation style. We can study</w:t>
      </w:r>
      <w:r>
        <w:rPr>
          <w:spacing w:val="1"/>
        </w:rPr>
        <w:t xml:space="preserve"> </w:t>
      </w:r>
      <w:r>
        <w:t>fluency quantitatively if we succeed in identifying the elements that contribute to a seemingly</w:t>
      </w:r>
      <w:r>
        <w:rPr>
          <w:spacing w:val="1"/>
        </w:rPr>
        <w:t xml:space="preserve"> </w:t>
      </w:r>
      <w:r>
        <w:t>effortless, fluid, and smooth interpretation. There is no doubt that false-start and hesitation ridden</w:t>
      </w:r>
      <w:r>
        <w:rPr>
          <w:spacing w:val="-57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non-fluent.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incomplete</w:t>
      </w:r>
      <w:r>
        <w:rPr>
          <w:spacing w:val="-10"/>
        </w:rPr>
        <w:t xml:space="preserve"> </w:t>
      </w:r>
      <w:r>
        <w:t>sentences,</w:t>
      </w:r>
      <w:r>
        <w:rPr>
          <w:spacing w:val="-9"/>
        </w:rPr>
        <w:t xml:space="preserve"> </w:t>
      </w:r>
      <w:r>
        <w:t>long-drawn-out</w:t>
      </w:r>
      <w:r>
        <w:rPr>
          <w:spacing w:val="-58"/>
        </w:rPr>
        <w:t xml:space="preserve"> </w:t>
      </w:r>
      <w:r>
        <w:t>delays, and a large volume of inactivity. Since these can be readily identified, fluency ought to be</w:t>
      </w:r>
      <w:r>
        <w:rPr>
          <w:spacing w:val="-58"/>
        </w:rPr>
        <w:t xml:space="preserve"> </w:t>
      </w:r>
      <w:r>
        <w:t>quantifiable. For instance, an interpreted discourse which consists of 40% pausing and has 10</w:t>
      </w:r>
      <w:r>
        <w:rPr>
          <w:spacing w:val="1"/>
        </w:rPr>
        <w:t xml:space="preserve"> </w:t>
      </w:r>
      <w:r>
        <w:t>false-starts,</w:t>
      </w:r>
      <w:r>
        <w:rPr>
          <w:spacing w:val="1"/>
        </w:rPr>
        <w:t xml:space="preserve"> </w:t>
      </w:r>
      <w:r>
        <w:t>15 hesitations, 13 incomplete sentences, and 7 instances of extended</w:t>
      </w:r>
      <w:r>
        <w:rPr>
          <w:spacing w:val="1"/>
        </w:rPr>
        <w:t xml:space="preserve"> </w:t>
      </w:r>
      <w:r>
        <w:t>delays, is</w:t>
      </w:r>
      <w:r>
        <w:rPr>
          <w:spacing w:val="1"/>
        </w:rPr>
        <w:t xml:space="preserve"> </w:t>
      </w:r>
      <w:r>
        <w:t>certainly less fluent than one that has 30% pausing, 5 false-starts, 5 hesitations, 3 incomplete</w:t>
      </w:r>
      <w:r>
        <w:rPr>
          <w:spacing w:val="1"/>
        </w:rPr>
        <w:t xml:space="preserve"> </w:t>
      </w:r>
      <w:r>
        <w:t>sentences,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delays.</w:t>
      </w:r>
      <w:r>
        <w:rPr>
          <w:spacing w:val="1"/>
        </w:rPr>
        <w:t xml:space="preserve"> </w:t>
      </w:r>
      <w:proofErr w:type="gramStart"/>
      <w:r>
        <w:t>All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fluency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quantifiable; therefore, it should not be contentious to claim that fluency itself is one aspect of SI</w:t>
      </w:r>
      <w:r>
        <w:rPr>
          <w:spacing w:val="-57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that is also quantifiable.</w:t>
      </w:r>
    </w:p>
    <w:p w14:paraId="6F425B71" w14:textId="77777777" w:rsidR="00967A6C" w:rsidRDefault="00000000">
      <w:pPr>
        <w:pStyle w:val="Heading1"/>
        <w:spacing w:before="4"/>
        <w:jc w:val="both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5FBAF9C1" w14:textId="77777777" w:rsidR="00967A6C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Daniel</w:t>
      </w:r>
      <w:r>
        <w:rPr>
          <w:spacing w:val="-2"/>
          <w:sz w:val="24"/>
        </w:rPr>
        <w:t xml:space="preserve"> </w:t>
      </w:r>
      <w:r>
        <w:rPr>
          <w:sz w:val="24"/>
        </w:rPr>
        <w:t>Gile’s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Effort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</w:p>
    <w:p w14:paraId="230C5D1F" w14:textId="77777777" w:rsidR="00967A6C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9" w:line="360" w:lineRule="auto"/>
        <w:ind w:right="434"/>
        <w:rPr>
          <w:sz w:val="24"/>
        </w:rPr>
      </w:pPr>
      <w:r>
        <w:rPr>
          <w:sz w:val="24"/>
        </w:rPr>
        <w:t>Describe translation problems caused due to lack thereof between the source language and the</w:t>
      </w:r>
      <w:r>
        <w:rPr>
          <w:spacing w:val="-57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in lexical, syntactic,</w:t>
      </w:r>
      <w:r>
        <w:rPr>
          <w:spacing w:val="-1"/>
          <w:sz w:val="24"/>
        </w:rPr>
        <w:t xml:space="preserve"> </w:t>
      </w:r>
      <w:r>
        <w:rPr>
          <w:sz w:val="24"/>
        </w:rPr>
        <w:t>and general informational terms.</w:t>
      </w:r>
    </w:p>
    <w:p w14:paraId="2C5D3957" w14:textId="77777777" w:rsidR="00967A6C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"/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time lag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chinking 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0F6D9899" w14:textId="77777777" w:rsidR="00967A6C" w:rsidRDefault="00967A6C">
      <w:pPr>
        <w:rPr>
          <w:sz w:val="24"/>
        </w:rPr>
        <w:sectPr w:rsidR="00967A6C">
          <w:pgSz w:w="11910" w:h="16840"/>
          <w:pgMar w:top="1040" w:right="740" w:bottom="280" w:left="1240" w:header="720" w:footer="720" w:gutter="0"/>
          <w:cols w:space="720"/>
        </w:sectPr>
      </w:pPr>
    </w:p>
    <w:p w14:paraId="7A83DED3" w14:textId="77777777" w:rsidR="00967A6C" w:rsidRDefault="00000000">
      <w:pPr>
        <w:pStyle w:val="Heading1"/>
        <w:spacing w:before="73"/>
      </w:pPr>
      <w:r>
        <w:lastRenderedPageBreak/>
        <w:t>References</w:t>
      </w:r>
    </w:p>
    <w:p w14:paraId="30083C2A" w14:textId="77777777" w:rsidR="00967A6C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40" w:line="360" w:lineRule="auto"/>
        <w:ind w:right="165" w:firstLine="0"/>
        <w:rPr>
          <w:sz w:val="24"/>
        </w:rPr>
      </w:pPr>
      <w:r>
        <w:rPr>
          <w:sz w:val="24"/>
        </w:rPr>
        <w:t>AIIC (1982): Practical Guide for Professional Interpreters, Geneva, Association Internationale</w:t>
      </w:r>
      <w:r>
        <w:rPr>
          <w:spacing w:val="-57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Interprètes de</w:t>
      </w:r>
      <w:r>
        <w:rPr>
          <w:spacing w:val="-2"/>
          <w:sz w:val="24"/>
        </w:rPr>
        <w:t xml:space="preserve"> </w:t>
      </w:r>
      <w:r>
        <w:rPr>
          <w:sz w:val="24"/>
        </w:rPr>
        <w:t>Conférence.</w:t>
      </w:r>
    </w:p>
    <w:p w14:paraId="46F8E64F" w14:textId="77777777" w:rsidR="00967A6C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right="496" w:firstLine="0"/>
        <w:rPr>
          <w:sz w:val="24"/>
        </w:rPr>
      </w:pPr>
      <w:r>
        <w:rPr>
          <w:sz w:val="24"/>
        </w:rPr>
        <w:t>Barik, H. C. (1969): A Study of Simultaneous Interpretation, thesis, University of North</w:t>
      </w:r>
      <w:r>
        <w:rPr>
          <w:spacing w:val="1"/>
          <w:sz w:val="24"/>
        </w:rPr>
        <w:t xml:space="preserve"> </w:t>
      </w:r>
      <w:r>
        <w:rPr>
          <w:sz w:val="24"/>
        </w:rPr>
        <w:t>Carolina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Chapel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Hill.—–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(1973):</w:t>
      </w:r>
      <w:r>
        <w:rPr>
          <w:spacing w:val="-2"/>
          <w:sz w:val="24"/>
        </w:rPr>
        <w:t xml:space="preserve"> </w:t>
      </w:r>
      <w:r>
        <w:rPr>
          <w:sz w:val="24"/>
        </w:rPr>
        <w:t>“Simultaneous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2"/>
          <w:sz w:val="24"/>
        </w:rPr>
        <w:t xml:space="preserve"> </w:t>
      </w:r>
      <w:r>
        <w:rPr>
          <w:sz w:val="24"/>
        </w:rPr>
        <w:t>Temporal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57"/>
          <w:sz w:val="24"/>
        </w:rPr>
        <w:t xml:space="preserve"> </w:t>
      </w:r>
      <w:r>
        <w:rPr>
          <w:sz w:val="24"/>
        </w:rPr>
        <w:t>Data,”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Speech, 16-3, pp. 237-270.</w:t>
      </w:r>
    </w:p>
    <w:p w14:paraId="55A83060" w14:textId="77777777" w:rsidR="00967A6C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right="433" w:firstLine="0"/>
        <w:rPr>
          <w:sz w:val="24"/>
        </w:rPr>
      </w:pPr>
      <w:r>
        <w:rPr>
          <w:sz w:val="24"/>
        </w:rPr>
        <w:t>Caretllieri, C. (1983): “The Inescapable Dilemma: Quality and/or Quantity in Interpreting,”</w:t>
      </w:r>
      <w:r>
        <w:rPr>
          <w:spacing w:val="-57"/>
          <w:sz w:val="24"/>
        </w:rPr>
        <w:t xml:space="preserve"> </w:t>
      </w:r>
      <w:r>
        <w:rPr>
          <w:sz w:val="24"/>
        </w:rPr>
        <w:t>Babel,</w:t>
      </w:r>
      <w:r>
        <w:rPr>
          <w:spacing w:val="-1"/>
          <w:sz w:val="24"/>
        </w:rPr>
        <w:t xml:space="preserve"> </w:t>
      </w:r>
      <w:r>
        <w:rPr>
          <w:sz w:val="24"/>
        </w:rPr>
        <w:t>29, pp. 209-213.</w:t>
      </w:r>
    </w:p>
    <w:sectPr w:rsidR="00967A6C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7377B"/>
    <w:multiLevelType w:val="hybridMultilevel"/>
    <w:tmpl w:val="48228F72"/>
    <w:lvl w:ilvl="0" w:tplc="924CFB7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18EA32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AAA916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AC36FFA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3E6AB6D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55E9EDC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 w:tplc="055E5BE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FA10FC82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 w:tplc="A3D6ED5A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AB6245"/>
    <w:multiLevelType w:val="hybridMultilevel"/>
    <w:tmpl w:val="99A03774"/>
    <w:lvl w:ilvl="0" w:tplc="CB88BBB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7FC768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46EADC44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A1B404AC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9160AAF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261697A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7B2388A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7F3C8ED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E7EE3518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5F1470"/>
    <w:multiLevelType w:val="hybridMultilevel"/>
    <w:tmpl w:val="8F622620"/>
    <w:lvl w:ilvl="0" w:tplc="07B0636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0A2E4C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2125294">
      <w:numFmt w:val="bullet"/>
      <w:lvlText w:val="•"/>
      <w:lvlJc w:val="left"/>
      <w:pPr>
        <w:ind w:left="2353" w:hanging="240"/>
      </w:pPr>
      <w:rPr>
        <w:rFonts w:hint="default"/>
        <w:lang w:val="en-US" w:eastAsia="en-US" w:bidi="ar-SA"/>
      </w:rPr>
    </w:lvl>
    <w:lvl w:ilvl="3" w:tplc="55A861B4">
      <w:numFmt w:val="bullet"/>
      <w:lvlText w:val="•"/>
      <w:lvlJc w:val="left"/>
      <w:pPr>
        <w:ind w:left="3299" w:hanging="240"/>
      </w:pPr>
      <w:rPr>
        <w:rFonts w:hint="default"/>
        <w:lang w:val="en-US" w:eastAsia="en-US" w:bidi="ar-SA"/>
      </w:rPr>
    </w:lvl>
    <w:lvl w:ilvl="4" w:tplc="B5A29A06">
      <w:numFmt w:val="bullet"/>
      <w:lvlText w:val="•"/>
      <w:lvlJc w:val="left"/>
      <w:pPr>
        <w:ind w:left="4246" w:hanging="240"/>
      </w:pPr>
      <w:rPr>
        <w:rFonts w:hint="default"/>
        <w:lang w:val="en-US" w:eastAsia="en-US" w:bidi="ar-SA"/>
      </w:rPr>
    </w:lvl>
    <w:lvl w:ilvl="5" w:tplc="5CCC76B4">
      <w:numFmt w:val="bullet"/>
      <w:lvlText w:val="•"/>
      <w:lvlJc w:val="left"/>
      <w:pPr>
        <w:ind w:left="5193" w:hanging="240"/>
      </w:pPr>
      <w:rPr>
        <w:rFonts w:hint="default"/>
        <w:lang w:val="en-US" w:eastAsia="en-US" w:bidi="ar-SA"/>
      </w:rPr>
    </w:lvl>
    <w:lvl w:ilvl="6" w:tplc="4FC81F2A">
      <w:numFmt w:val="bullet"/>
      <w:lvlText w:val="•"/>
      <w:lvlJc w:val="left"/>
      <w:pPr>
        <w:ind w:left="6139" w:hanging="240"/>
      </w:pPr>
      <w:rPr>
        <w:rFonts w:hint="default"/>
        <w:lang w:val="en-US" w:eastAsia="en-US" w:bidi="ar-SA"/>
      </w:rPr>
    </w:lvl>
    <w:lvl w:ilvl="7" w:tplc="0A440FDE">
      <w:numFmt w:val="bullet"/>
      <w:lvlText w:val="•"/>
      <w:lvlJc w:val="left"/>
      <w:pPr>
        <w:ind w:left="7086" w:hanging="240"/>
      </w:pPr>
      <w:rPr>
        <w:rFonts w:hint="default"/>
        <w:lang w:val="en-US" w:eastAsia="en-US" w:bidi="ar-SA"/>
      </w:rPr>
    </w:lvl>
    <w:lvl w:ilvl="8" w:tplc="271E3808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num w:numId="1" w16cid:durableId="1754206720">
    <w:abstractNumId w:val="2"/>
  </w:num>
  <w:num w:numId="2" w16cid:durableId="1384016974">
    <w:abstractNumId w:val="1"/>
  </w:num>
  <w:num w:numId="3" w16cid:durableId="198542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A6C"/>
    <w:rsid w:val="00595A81"/>
    <w:rsid w:val="00967A6C"/>
    <w:rsid w:val="009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B90DFA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95A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2024-10-07T10:43:00Z</dcterms:created>
  <dcterms:modified xsi:type="dcterms:W3CDTF">2024-10-09T13:10:00Z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